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155E1" w:rsidRDefault="00F92268" w:rsidP="00850792">
      <w:pPr>
        <w:pStyle w:val="BodyText"/>
        <w:rPr>
          <w:sz w:val="6"/>
          <w:szCs w:val="6"/>
        </w:rPr>
      </w:pPr>
      <w:r w:rsidRPr="00B155E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155E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B155E1" w:rsidRDefault="00F92268" w:rsidP="00F246C7">
            <w:pPr>
              <w:pStyle w:val="RefTableData"/>
            </w:pPr>
            <w:r w:rsidRPr="00B155E1">
              <w:t>Reference number(s)</w:t>
            </w:r>
          </w:p>
        </w:tc>
      </w:tr>
      <w:tr w:rsidR="00F92268" w:rsidRPr="00B155E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3BFB2F0F" w:rsidR="00F92268" w:rsidRPr="00B155E1" w:rsidRDefault="00AE47F5" w:rsidP="00F246C7">
            <w:pPr>
              <w:pStyle w:val="RefTableHeader"/>
            </w:pPr>
            <w:r w:rsidRPr="00B155E1">
              <w:t>1687-A</w:t>
            </w:r>
          </w:p>
        </w:tc>
      </w:tr>
    </w:tbl>
    <w:p w14:paraId="41CA5F78" w14:textId="77777777" w:rsidR="00545DAA" w:rsidRDefault="00545DAA" w:rsidP="007E5C16">
      <w:pPr>
        <w:pStyle w:val="Heading1"/>
        <w:sectPr w:rsidR="00545DAA" w:rsidSect="00545DAA">
          <w:headerReference w:type="default" r:id="rId12"/>
          <w:footerReference w:type="default" r:id="rId13"/>
          <w:footerReference w:type="first" r:id="rId14"/>
          <w:type w:val="continuous"/>
          <w:pgSz w:w="12240" w:h="15840" w:code="1"/>
          <w:pgMar w:top="907" w:right="720" w:bottom="994" w:left="720" w:header="720" w:footer="576" w:gutter="0"/>
          <w:cols w:space="720"/>
          <w:titlePg/>
          <w:docGrid w:linePitch="299"/>
        </w:sectPr>
      </w:pPr>
    </w:p>
    <w:p w14:paraId="3F4DE49F" w14:textId="579FDE74" w:rsidR="004B15BB" w:rsidRPr="00B155E1" w:rsidRDefault="008F2D2C" w:rsidP="007E5C16">
      <w:pPr>
        <w:pStyle w:val="Heading1"/>
      </w:pPr>
      <w:r w:rsidRPr="00B155E1">
        <w:t>Specialty Guideline Management</w:t>
      </w:r>
      <w:r w:rsidR="0045790D" w:rsidRPr="00B155E1">
        <w:br/>
      </w:r>
      <w:r w:rsidR="00CC436D" w:rsidRPr="00CC436D">
        <w:t>Zejula</w:t>
      </w:r>
    </w:p>
    <w:p w14:paraId="78861C92" w14:textId="50BAF63D" w:rsidR="00203468" w:rsidRPr="00B155E1" w:rsidRDefault="00C64534" w:rsidP="008E0F0D">
      <w:pPr>
        <w:pStyle w:val="Heading2"/>
      </w:pPr>
      <w:r w:rsidRPr="00B155E1">
        <w:t xml:space="preserve">Products Referenced by this </w:t>
      </w:r>
      <w:r w:rsidR="00501602" w:rsidRPr="00B155E1">
        <w:t>Document</w:t>
      </w:r>
    </w:p>
    <w:p w14:paraId="5455152B" w14:textId="79BF78BC" w:rsidR="008E0F0D" w:rsidRPr="00B155E1" w:rsidRDefault="00D82D85" w:rsidP="008B73E8">
      <w:pPr>
        <w:pStyle w:val="BodyText"/>
      </w:pPr>
      <w:r w:rsidRPr="00B155E1">
        <w:t xml:space="preserve">Drugs that are listed in the </w:t>
      </w:r>
      <w:r w:rsidR="000315F1" w:rsidRPr="00B155E1">
        <w:t>following table</w:t>
      </w:r>
      <w:r w:rsidRPr="00B155E1">
        <w:t xml:space="preserve"> include both brand and generic and all dosage forms and strengths unless otherwise stated. </w:t>
      </w:r>
      <w:r w:rsidR="00CB29B2" w:rsidRPr="00B155E1">
        <w:t>Over</w:t>
      </w:r>
      <w:r w:rsidR="00EF73C8">
        <w:t>-</w:t>
      </w:r>
      <w:r w:rsidR="00CB29B2" w:rsidRPr="00B155E1">
        <w:t>the</w:t>
      </w:r>
      <w:r w:rsidR="00EF73C8">
        <w:t>-</w:t>
      </w:r>
      <w:r w:rsidR="00CB29B2" w:rsidRPr="00B155E1">
        <w:t>counter (OTC)</w:t>
      </w:r>
      <w:r w:rsidRPr="00B155E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B155E1" w14:paraId="057AAA89" w14:textId="77777777">
        <w:trPr>
          <w:cantSplit/>
          <w:trHeight w:val="288"/>
          <w:tblHeader/>
        </w:trPr>
        <w:tc>
          <w:tcPr>
            <w:tcW w:w="5265" w:type="dxa"/>
            <w:vAlign w:val="center"/>
          </w:tcPr>
          <w:p w14:paraId="6CBFE1BD" w14:textId="77777777" w:rsidR="005B4D7C" w:rsidRPr="00B155E1" w:rsidRDefault="005B4D7C">
            <w:pPr>
              <w:pStyle w:val="TableHeader"/>
            </w:pPr>
            <w:r w:rsidRPr="00B155E1">
              <w:t>Brand Name</w:t>
            </w:r>
          </w:p>
        </w:tc>
        <w:tc>
          <w:tcPr>
            <w:tcW w:w="5595" w:type="dxa"/>
            <w:vAlign w:val="center"/>
          </w:tcPr>
          <w:p w14:paraId="18440B85" w14:textId="77777777" w:rsidR="005B4D7C" w:rsidRPr="00B155E1" w:rsidRDefault="005B4D7C">
            <w:pPr>
              <w:pStyle w:val="TableHeader"/>
            </w:pPr>
            <w:r w:rsidRPr="00B155E1">
              <w:t>Generic Name</w:t>
            </w:r>
          </w:p>
        </w:tc>
      </w:tr>
      <w:tr w:rsidR="005B4D7C" w:rsidRPr="00B155E1" w14:paraId="7742B1EC" w14:textId="77777777">
        <w:trPr>
          <w:cantSplit/>
        </w:trPr>
        <w:tc>
          <w:tcPr>
            <w:tcW w:w="5265" w:type="dxa"/>
          </w:tcPr>
          <w:p w14:paraId="4DED0C9B" w14:textId="251CF99F" w:rsidR="005B4D7C" w:rsidRPr="00B155E1" w:rsidRDefault="008F2D2C">
            <w:pPr>
              <w:pStyle w:val="TableDataUnpadded"/>
            </w:pPr>
            <w:r w:rsidRPr="00B155E1">
              <w:t>Zejula</w:t>
            </w:r>
          </w:p>
        </w:tc>
        <w:tc>
          <w:tcPr>
            <w:tcW w:w="5595" w:type="dxa"/>
          </w:tcPr>
          <w:p w14:paraId="1A09710D" w14:textId="55BB6EAE" w:rsidR="005B4D7C" w:rsidRPr="00B155E1" w:rsidRDefault="008F2D2C">
            <w:pPr>
              <w:pStyle w:val="TableDataUnpadded"/>
            </w:pPr>
            <w:r w:rsidRPr="00B155E1">
              <w:t>niraparib</w:t>
            </w:r>
          </w:p>
        </w:tc>
      </w:tr>
    </w:tbl>
    <w:p w14:paraId="14CE6108" w14:textId="28041252" w:rsidR="00FC1AAD" w:rsidRPr="00B155E1" w:rsidRDefault="00ED052F" w:rsidP="00AA2A94">
      <w:pPr>
        <w:pStyle w:val="Heading2"/>
        <w:tabs>
          <w:tab w:val="left" w:pos="9540"/>
        </w:tabs>
      </w:pPr>
      <w:r w:rsidRPr="00B155E1">
        <w:t>Indications</w:t>
      </w:r>
    </w:p>
    <w:p w14:paraId="7C1909C0" w14:textId="5A252F72" w:rsidR="008F2D2C" w:rsidRPr="00B155E1" w:rsidRDefault="008F2D2C" w:rsidP="008F2D2C">
      <w:pPr>
        <w:pStyle w:val="BodyText"/>
      </w:pPr>
      <w:r w:rsidRPr="00B155E1">
        <w:t>The indications below including FDA-approved indications and compendial uses are considered a covered benefit provided that all the approval criteria are met and the member has no exclusions to the prescribed therapy.</w:t>
      </w:r>
    </w:p>
    <w:p w14:paraId="134B5687" w14:textId="259D6F6C" w:rsidR="00ED052F" w:rsidRPr="00B155E1" w:rsidRDefault="00ED052F" w:rsidP="00ED052F">
      <w:pPr>
        <w:pStyle w:val="Heading3"/>
        <w:keepNext w:val="0"/>
      </w:pPr>
      <w:r w:rsidRPr="00B155E1">
        <w:t>FDA-approved Indications</w:t>
      </w:r>
      <w:r w:rsidR="00EE05D9" w:rsidRPr="00EE05D9">
        <w:rPr>
          <w:vertAlign w:val="superscript"/>
        </w:rPr>
        <w:t>1</w:t>
      </w:r>
    </w:p>
    <w:p w14:paraId="25E578B1" w14:textId="466C9618" w:rsidR="008F2D2C" w:rsidRPr="00B155E1" w:rsidRDefault="008F2D2C" w:rsidP="008F2D2C">
      <w:pPr>
        <w:pStyle w:val="ListParagraph"/>
        <w:numPr>
          <w:ilvl w:val="0"/>
          <w:numId w:val="28"/>
        </w:numPr>
      </w:pPr>
      <w:r w:rsidRPr="00B155E1">
        <w:t>Maintenance treatment of adult patients with advanced epithelial ovarian, fallopian tube, or primary peritoneal cancer who are in a complete or partial response to first-line platinum-based chemotherapy.</w:t>
      </w:r>
    </w:p>
    <w:p w14:paraId="4C434745" w14:textId="2AA53E6F" w:rsidR="00ED052F" w:rsidRPr="00B155E1" w:rsidRDefault="008F2D2C" w:rsidP="008F2D2C">
      <w:pPr>
        <w:pStyle w:val="ListParagraph"/>
        <w:numPr>
          <w:ilvl w:val="0"/>
          <w:numId w:val="28"/>
        </w:numPr>
      </w:pPr>
      <w:r w:rsidRPr="00B155E1">
        <w:t>Maintenance treatment of adult patients with deleterious or suspected deleterious germline BRCA-mutated (gBRCAmut) recurrent epithelial ovarian, fallopian tube, or primary peritoneal cancer who are in a complete or partial response to platinum-based chemotherapy.</w:t>
      </w:r>
    </w:p>
    <w:p w14:paraId="0E3DC33B" w14:textId="77777777" w:rsidR="008F2D2C" w:rsidRPr="00B155E1" w:rsidRDefault="008F2D2C" w:rsidP="008F2D2C">
      <w:pPr>
        <w:pStyle w:val="Heading3"/>
      </w:pPr>
      <w:r w:rsidRPr="00B155E1">
        <w:t>Compendial uses</w:t>
      </w:r>
      <w:r w:rsidRPr="00B155E1">
        <w:rPr>
          <w:vertAlign w:val="superscript"/>
        </w:rPr>
        <w:t>2</w:t>
      </w:r>
    </w:p>
    <w:p w14:paraId="727770AB" w14:textId="77777777" w:rsidR="008F2D2C" w:rsidRPr="00B155E1" w:rsidRDefault="008F2D2C" w:rsidP="008F2D2C">
      <w:pPr>
        <w:pStyle w:val="ListParagraph"/>
        <w:numPr>
          <w:ilvl w:val="0"/>
          <w:numId w:val="32"/>
        </w:numPr>
      </w:pPr>
      <w:r w:rsidRPr="00B155E1">
        <w:t>Ovarian, fallopian tube, or primary peritoneal cancer – maintenance therapy for stage II-IV disease with germline or somatic BRCA mutation</w:t>
      </w:r>
    </w:p>
    <w:p w14:paraId="5BE13E58" w14:textId="77777777" w:rsidR="00D54793" w:rsidRDefault="008F2D2C" w:rsidP="008F2D2C">
      <w:pPr>
        <w:pStyle w:val="ListParagraph"/>
        <w:numPr>
          <w:ilvl w:val="0"/>
          <w:numId w:val="32"/>
        </w:numPr>
      </w:pPr>
      <w:r w:rsidRPr="00B155E1">
        <w:t>Uterine Leiomyosarcoma (uLMS)</w:t>
      </w:r>
    </w:p>
    <w:p w14:paraId="1FB15BC4" w14:textId="255F960E" w:rsidR="007A2C8B" w:rsidRPr="00B155E1" w:rsidRDefault="007A2C8B" w:rsidP="008F2D2C">
      <w:pPr>
        <w:pStyle w:val="ListParagraph"/>
        <w:numPr>
          <w:ilvl w:val="0"/>
          <w:numId w:val="32"/>
        </w:numPr>
      </w:pPr>
      <w:r>
        <w:lastRenderedPageBreak/>
        <w:t>Prostate cancer</w:t>
      </w:r>
    </w:p>
    <w:p w14:paraId="1E376A54" w14:textId="77777777" w:rsidR="008F2D2C" w:rsidRPr="00B155E1" w:rsidRDefault="008F2D2C" w:rsidP="008F2D2C">
      <w:pPr>
        <w:pStyle w:val="BodyText"/>
      </w:pPr>
      <w:r w:rsidRPr="00B155E1">
        <w:t>All other indications are considered experimental/investigational and not medically necessary.</w:t>
      </w:r>
    </w:p>
    <w:p w14:paraId="36381B6D" w14:textId="501B0E30" w:rsidR="000D2496" w:rsidRPr="00B155E1" w:rsidRDefault="000D2496" w:rsidP="00D54793">
      <w:pPr>
        <w:pStyle w:val="Heading2"/>
        <w:spacing w:before="240"/>
      </w:pPr>
      <w:r w:rsidRPr="00B155E1">
        <w:t>Documentation</w:t>
      </w:r>
    </w:p>
    <w:p w14:paraId="6E735815" w14:textId="77777777" w:rsidR="008F2D2C" w:rsidRPr="00B155E1" w:rsidRDefault="008F2D2C" w:rsidP="008F2D2C">
      <w:pPr>
        <w:pStyle w:val="BodyText"/>
      </w:pPr>
      <w:bookmarkStart w:id="0" w:name="S2.2"/>
      <w:bookmarkStart w:id="1" w:name="section-2.2"/>
      <w:bookmarkStart w:id="2" w:name="section-2.2.1"/>
      <w:bookmarkStart w:id="3" w:name="section-2.2.2"/>
      <w:bookmarkEnd w:id="0"/>
      <w:bookmarkEnd w:id="1"/>
      <w:bookmarkEnd w:id="2"/>
      <w:bookmarkEnd w:id="3"/>
      <w:r w:rsidRPr="00B155E1">
        <w:t>Submission of the following information is necessary to initiate the prior authorization review:</w:t>
      </w:r>
    </w:p>
    <w:p w14:paraId="5A0715BD" w14:textId="77777777" w:rsidR="008F2D2C" w:rsidRPr="00B155E1" w:rsidRDefault="008F2D2C" w:rsidP="008F2D2C">
      <w:pPr>
        <w:pStyle w:val="BodyText"/>
      </w:pPr>
      <w:r w:rsidRPr="00B155E1">
        <w:t>Documentation of laboratory report confirming BRCA mutation status, where applicable.</w:t>
      </w:r>
    </w:p>
    <w:p w14:paraId="2BAA6DCB" w14:textId="358F2F63" w:rsidR="008F2D2C" w:rsidRPr="00B155E1" w:rsidRDefault="008F2D2C" w:rsidP="008F2D2C">
      <w:pPr>
        <w:pStyle w:val="Heading2"/>
      </w:pPr>
      <w:r w:rsidRPr="00B155E1">
        <w:t>Coverage Criteria</w:t>
      </w:r>
    </w:p>
    <w:p w14:paraId="51B5D0F1" w14:textId="77777777" w:rsidR="008F2D2C" w:rsidRPr="00B155E1" w:rsidRDefault="008F2D2C" w:rsidP="008F2D2C">
      <w:pPr>
        <w:pStyle w:val="Heading3"/>
      </w:pPr>
      <w:r w:rsidRPr="00B155E1">
        <w:t>Epithelial Ovarian, Fallopian Tube, or Primary Peritoneal Cancer</w:t>
      </w:r>
      <w:r w:rsidRPr="00B155E1">
        <w:rPr>
          <w:vertAlign w:val="superscript"/>
        </w:rPr>
        <w:t>1,2</w:t>
      </w:r>
    </w:p>
    <w:p w14:paraId="471D9CAB" w14:textId="77777777" w:rsidR="008F2D2C" w:rsidRPr="00B155E1" w:rsidRDefault="008F2D2C" w:rsidP="008F2D2C">
      <w:pPr>
        <w:pStyle w:val="BodyText"/>
      </w:pPr>
      <w:r w:rsidRPr="00B155E1">
        <w:t xml:space="preserve">Authorization of 12 months may be granted for maintenance treatment of </w:t>
      </w:r>
      <w:r w:rsidRPr="00B155E1">
        <w:rPr>
          <w:bCs/>
        </w:rPr>
        <w:t xml:space="preserve">epithelial ovarian, fallopian tube, or primary peritoneal cancer </w:t>
      </w:r>
      <w:r w:rsidRPr="00B155E1">
        <w:t>when the member is in a complete or partial response to platinum-based chemotherapy and any of the following criteria are met:</w:t>
      </w:r>
    </w:p>
    <w:p w14:paraId="56103445" w14:textId="4678A509" w:rsidR="008F2D2C" w:rsidRPr="00B155E1" w:rsidRDefault="008F2D2C" w:rsidP="008F2D2C">
      <w:pPr>
        <w:pStyle w:val="ListParagraph"/>
      </w:pPr>
      <w:r w:rsidRPr="00B155E1">
        <w:t>Member has advanced (stage II-IV) disease and requested medication will be used as a single agent or in combination with bevacizumab</w:t>
      </w:r>
      <w:r w:rsidR="00DE72FF">
        <w:t>.</w:t>
      </w:r>
    </w:p>
    <w:p w14:paraId="46B22756" w14:textId="7DCF24D6" w:rsidR="008F2D2C" w:rsidRPr="00B155E1" w:rsidRDefault="008F2D2C" w:rsidP="008F2D2C">
      <w:pPr>
        <w:pStyle w:val="ListParagraph"/>
      </w:pPr>
      <w:r w:rsidRPr="00B155E1">
        <w:t>Member has recurrent disease with a deleterious or suspected deleterious germline BRCA mutation and requested medication will be used as a single agent</w:t>
      </w:r>
      <w:r w:rsidR="00DE72FF">
        <w:t>.</w:t>
      </w:r>
    </w:p>
    <w:p w14:paraId="69D80022" w14:textId="77777777" w:rsidR="008F2D2C" w:rsidRPr="00B155E1" w:rsidRDefault="008F2D2C" w:rsidP="008F2D2C">
      <w:pPr>
        <w:pStyle w:val="Heading3"/>
      </w:pPr>
      <w:r w:rsidRPr="00B155E1">
        <w:t>Uterine Leiomyosarcoma</w:t>
      </w:r>
      <w:r w:rsidRPr="00B155E1">
        <w:rPr>
          <w:vertAlign w:val="superscript"/>
        </w:rPr>
        <w:t>2</w:t>
      </w:r>
    </w:p>
    <w:p w14:paraId="1E89F604" w14:textId="77777777" w:rsidR="008F2D2C" w:rsidRDefault="008F2D2C" w:rsidP="008F2D2C">
      <w:pPr>
        <w:pStyle w:val="BodyText"/>
      </w:pPr>
      <w:r w:rsidRPr="00B155E1">
        <w:t>Authorization of 12 months may be granted for subsequent treatment of BRCA2-altered uterine leiomyosarcoma (uLMS) when used as a single agent for advanced, recurrent, metastatic, or inoperable disease.</w:t>
      </w:r>
    </w:p>
    <w:p w14:paraId="23D944D6" w14:textId="0C7C0DB0" w:rsidR="007A2C8B" w:rsidRPr="00811011" w:rsidRDefault="007A2C8B" w:rsidP="007A2C8B">
      <w:pPr>
        <w:pStyle w:val="Heading3"/>
        <w:rPr>
          <w:vertAlign w:val="superscript"/>
        </w:rPr>
      </w:pPr>
      <w:r>
        <w:t>Prostate Cancer</w:t>
      </w:r>
      <w:r>
        <w:rPr>
          <w:vertAlign w:val="superscript"/>
        </w:rPr>
        <w:t>2</w:t>
      </w:r>
    </w:p>
    <w:p w14:paraId="61328880" w14:textId="77777777" w:rsidR="007A2C8B" w:rsidRPr="008D1D8B" w:rsidRDefault="007A2C8B" w:rsidP="007A2C8B">
      <w:pPr>
        <w:pStyle w:val="BodyText"/>
      </w:pPr>
      <w:r w:rsidRPr="008D1D8B">
        <w:t xml:space="preserve">Authorization of 12 months may be granted for treatment of </w:t>
      </w:r>
      <w:r>
        <w:t>metastatic castration-resistant prostate cancer</w:t>
      </w:r>
      <w:r w:rsidRPr="008D1D8B">
        <w:t xml:space="preserve"> when all of the following criteria are</w:t>
      </w:r>
      <w:r>
        <w:t xml:space="preserve"> met</w:t>
      </w:r>
      <w:r w:rsidRPr="008D1D8B">
        <w:t>:</w:t>
      </w:r>
    </w:p>
    <w:p w14:paraId="6AAB90A1" w14:textId="57329E20" w:rsidR="007A2C8B" w:rsidRPr="009F4D3C" w:rsidRDefault="007A2C8B" w:rsidP="007A2C8B">
      <w:pPr>
        <w:pStyle w:val="ListParagraph"/>
        <w:numPr>
          <w:ilvl w:val="0"/>
          <w:numId w:val="37"/>
        </w:numPr>
      </w:pPr>
      <w:r w:rsidRPr="009F4D3C">
        <w:t>The disease has BRCA</w:t>
      </w:r>
      <w:r>
        <w:t>1 or BRCA2</w:t>
      </w:r>
      <w:r w:rsidRPr="009F4D3C">
        <w:t xml:space="preserve"> mutation</w:t>
      </w:r>
    </w:p>
    <w:p w14:paraId="52D87389" w14:textId="77777777" w:rsidR="007A2C8B" w:rsidRPr="009F4D3C" w:rsidRDefault="007A2C8B" w:rsidP="007A2C8B">
      <w:pPr>
        <w:pStyle w:val="ListParagraph"/>
        <w:numPr>
          <w:ilvl w:val="0"/>
          <w:numId w:val="37"/>
        </w:numPr>
      </w:pPr>
      <w:r w:rsidRPr="009F4D3C">
        <w:t xml:space="preserve">The member has had a bilateral orchiectomy or will be using the requested medication in combination with </w:t>
      </w:r>
      <w:r w:rsidRPr="006668E9">
        <w:t xml:space="preserve">a luteinizing hormone-releasing hormone (LHRH) agonist (e.g., goserelin, leuprolide) or antagonist (e.g., </w:t>
      </w:r>
      <w:proofErr w:type="spellStart"/>
      <w:r w:rsidRPr="006668E9">
        <w:t>degarelix</w:t>
      </w:r>
      <w:proofErr w:type="spellEnd"/>
      <w:r w:rsidRPr="006668E9">
        <w:t xml:space="preserve">, </w:t>
      </w:r>
      <w:proofErr w:type="spellStart"/>
      <w:r w:rsidRPr="006668E9">
        <w:t>relugolix</w:t>
      </w:r>
      <w:proofErr w:type="spellEnd"/>
      <w:r w:rsidRPr="006668E9">
        <w:t>).</w:t>
      </w:r>
    </w:p>
    <w:p w14:paraId="3B363D4E" w14:textId="1B6D02A5" w:rsidR="007A2C8B" w:rsidRPr="00B155E1" w:rsidRDefault="007A2C8B" w:rsidP="00AA2A30">
      <w:pPr>
        <w:pStyle w:val="ListParagraph"/>
        <w:numPr>
          <w:ilvl w:val="0"/>
          <w:numId w:val="37"/>
        </w:numPr>
      </w:pPr>
      <w:r w:rsidRPr="009F4D3C">
        <w:t xml:space="preserve">The requested medication will be used in combination </w:t>
      </w:r>
      <w:r w:rsidRPr="00AA2A30">
        <w:t>with abiraterone and concurrent steroids (prednisone or methylprednisolone)</w:t>
      </w:r>
      <w:r>
        <w:t>.</w:t>
      </w:r>
    </w:p>
    <w:p w14:paraId="4787FAC5" w14:textId="3B87131D" w:rsidR="008F2D2C" w:rsidRPr="00B155E1" w:rsidRDefault="008F2D2C" w:rsidP="008F2D2C">
      <w:pPr>
        <w:pStyle w:val="Heading2"/>
      </w:pPr>
      <w:r w:rsidRPr="00B155E1">
        <w:t xml:space="preserve">Continuation </w:t>
      </w:r>
      <w:r w:rsidR="00FC300B">
        <w:t>o</w:t>
      </w:r>
      <w:r w:rsidRPr="00B155E1">
        <w:t>f Therapy</w:t>
      </w:r>
    </w:p>
    <w:p w14:paraId="46AC38E6" w14:textId="77777777" w:rsidR="008F2D2C" w:rsidRPr="00B155E1" w:rsidRDefault="008F2D2C" w:rsidP="008F2D2C">
      <w:pPr>
        <w:pStyle w:val="BodyText"/>
      </w:pPr>
      <w:r w:rsidRPr="00B155E1">
        <w:t>Authorization of 12 months may be granted for continued treatment in members requesting reauthorization for an indication listed in the coverage criteria section when there is no evidence of unacceptable toxicity or disease progression while on the current regimen.</w:t>
      </w:r>
    </w:p>
    <w:p w14:paraId="6B9A7C98" w14:textId="7050152D" w:rsidR="008F2D2C" w:rsidRPr="00B155E1" w:rsidRDefault="00D54793" w:rsidP="008F2D2C">
      <w:pPr>
        <w:pStyle w:val="Heading2"/>
      </w:pPr>
      <w:r w:rsidRPr="00B155E1">
        <w:t>References</w:t>
      </w:r>
    </w:p>
    <w:p w14:paraId="20AAC6E9" w14:textId="1D602F93" w:rsidR="008F2D2C" w:rsidRPr="00B155E1" w:rsidRDefault="008F2D2C" w:rsidP="00D54793">
      <w:pPr>
        <w:pStyle w:val="ReferenceOrdered"/>
      </w:pPr>
      <w:r w:rsidRPr="00B155E1">
        <w:t xml:space="preserve">Zejula [package insert]. Durham, NC: GlaxoSmithKline; </w:t>
      </w:r>
      <w:r w:rsidR="00DE72FF">
        <w:t>May 2024</w:t>
      </w:r>
      <w:r w:rsidRPr="00B155E1">
        <w:t>.</w:t>
      </w:r>
    </w:p>
    <w:p w14:paraId="013E7FF2" w14:textId="5BEC1155" w:rsidR="00AE47F5" w:rsidRDefault="008F2D2C" w:rsidP="00CA6973">
      <w:pPr>
        <w:pStyle w:val="ReferenceOrdered"/>
      </w:pPr>
      <w:r w:rsidRPr="00B155E1">
        <w:t xml:space="preserve">The NCCN Drugs &amp; Biologics Compendium® © 2024 National Comprehensive Cancer Network, Inc. Available at: http://www.nccn.org. Accessed </w:t>
      </w:r>
      <w:r w:rsidR="007A2C8B">
        <w:t>December</w:t>
      </w:r>
      <w:r w:rsidR="007A2C8B" w:rsidRPr="00B155E1">
        <w:t xml:space="preserve"> </w:t>
      </w:r>
      <w:r w:rsidR="007A2C8B">
        <w:t>1</w:t>
      </w:r>
      <w:r w:rsidR="00DE72FF">
        <w:t>7</w:t>
      </w:r>
      <w:r w:rsidRPr="00B155E1">
        <w:t>, 2024</w:t>
      </w:r>
      <w:r w:rsidR="00FC300B">
        <w:t>.</w:t>
      </w:r>
    </w:p>
    <w:sectPr w:rsidR="00AE47F5" w:rsidSect="00545DAA">
      <w:headerReference w:type="first" r:id="rId15"/>
      <w:type w:val="continuous"/>
      <w:pgSz w:w="12240" w:h="15840" w:code="1"/>
      <w:pgMar w:top="907" w:right="720" w:bottom="994" w:left="720" w:header="720" w:footer="576"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176E2" w14:textId="77777777" w:rsidR="00964BB7" w:rsidRDefault="00964BB7">
      <w:r>
        <w:separator/>
      </w:r>
    </w:p>
  </w:endnote>
  <w:endnote w:type="continuationSeparator" w:id="0">
    <w:p w14:paraId="12F07D16" w14:textId="77777777" w:rsidR="00964BB7" w:rsidRDefault="00964BB7">
      <w:r>
        <w:continuationSeparator/>
      </w:r>
    </w:p>
  </w:endnote>
  <w:endnote w:type="continuationNotice" w:id="1">
    <w:p w14:paraId="7E67CF50" w14:textId="77777777" w:rsidR="00964BB7" w:rsidRDefault="00964B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E0D7" w14:textId="376D5341" w:rsidR="00AE47F5" w:rsidRPr="004159B2" w:rsidRDefault="00AE47F5" w:rsidP="00AE47F5">
    <w:pPr>
      <w:tabs>
        <w:tab w:val="right" w:pos="10710"/>
      </w:tabs>
      <w:spacing w:before="360" w:after="120"/>
      <w:rPr>
        <w:rFonts w:cs="Arial"/>
        <w:snapToGrid w:val="0"/>
        <w:color w:val="000000"/>
        <w:sz w:val="16"/>
      </w:rPr>
    </w:pPr>
    <w:r w:rsidRPr="004159B2">
      <w:rPr>
        <w:rFonts w:cs="Arial"/>
        <w:noProof/>
        <w:snapToGrid w:val="0"/>
        <w:color w:val="000000"/>
        <w:sz w:val="16"/>
        <w:szCs w:val="16"/>
      </w:rPr>
      <w:fldChar w:fldCharType="begin"/>
    </w:r>
    <w:r w:rsidRPr="004159B2">
      <w:rPr>
        <w:rFonts w:cs="Arial"/>
        <w:noProof/>
        <w:snapToGrid w:val="0"/>
        <w:color w:val="000000"/>
        <w:sz w:val="16"/>
        <w:szCs w:val="16"/>
      </w:rPr>
      <w:instrText xml:space="preserve"> FILENAME \* MERGEFORMAT </w:instrText>
    </w:r>
    <w:r w:rsidRPr="004159B2">
      <w:rPr>
        <w:rFonts w:cs="Arial"/>
        <w:noProof/>
        <w:snapToGrid w:val="0"/>
        <w:color w:val="000000"/>
        <w:sz w:val="16"/>
        <w:szCs w:val="16"/>
      </w:rPr>
      <w:fldChar w:fldCharType="separate"/>
    </w:r>
    <w:r w:rsidR="00321036">
      <w:rPr>
        <w:rFonts w:cs="Arial"/>
        <w:noProof/>
        <w:snapToGrid w:val="0"/>
        <w:color w:val="000000"/>
        <w:sz w:val="16"/>
        <w:szCs w:val="16"/>
      </w:rPr>
      <w:t>Zejula SGM 1687-A P2024a.docx</w:t>
    </w:r>
    <w:r w:rsidRPr="004159B2">
      <w:rPr>
        <w:rFonts w:cs="Arial"/>
        <w:noProof/>
        <w:snapToGrid w:val="0"/>
        <w:color w:val="000000"/>
        <w:sz w:val="16"/>
        <w:szCs w:val="16"/>
      </w:rPr>
      <w:fldChar w:fldCharType="end"/>
    </w:r>
    <w:r w:rsidRPr="004159B2">
      <w:rPr>
        <w:rFonts w:cs="Arial"/>
        <w:snapToGrid w:val="0"/>
        <w:color w:val="000000"/>
        <w:sz w:val="16"/>
      </w:rPr>
      <w:tab/>
      <w:t>© 2024 CVS Caremark. All rights reserved.</w:t>
    </w:r>
  </w:p>
  <w:p w14:paraId="4B445DCA" w14:textId="77777777" w:rsidR="00AE47F5" w:rsidRPr="004159B2" w:rsidRDefault="00AE47F5" w:rsidP="00AE47F5">
    <w:pPr>
      <w:tabs>
        <w:tab w:val="center" w:pos="4320"/>
        <w:tab w:val="right" w:pos="8640"/>
      </w:tabs>
      <w:spacing w:after="200"/>
      <w:rPr>
        <w:rFonts w:cs="Arial"/>
        <w:sz w:val="16"/>
        <w:szCs w:val="16"/>
      </w:rPr>
    </w:pPr>
    <w:r w:rsidRPr="004159B2">
      <w:rPr>
        <w:rFonts w:cs="Arial"/>
        <w:sz w:val="16"/>
        <w:szCs w:val="16"/>
      </w:rPr>
      <w:t>This document contains c</w:t>
    </w:r>
    <w:r w:rsidRPr="004159B2">
      <w:rPr>
        <w:rFonts w:cs="Arial"/>
        <w:snapToGrid w:val="0"/>
        <w:sz w:val="16"/>
        <w:szCs w:val="16"/>
      </w:rPr>
      <w:t xml:space="preserve">onfidential and proprietary information of CVS Caremark and cannot be reproduced, distributed or printed without written permission from CVS Caremark. </w:t>
    </w:r>
    <w:r w:rsidRPr="004159B2">
      <w:rPr>
        <w:rFonts w:cs="Arial"/>
        <w:sz w:val="16"/>
        <w:szCs w:val="16"/>
      </w:rPr>
      <w:t xml:space="preserve">This document contains prescription brand name drugs that are trademarks or registered trademarks of pharmaceutical manufacturers that are not affiliated with </w:t>
    </w:r>
    <w:r w:rsidRPr="004159B2">
      <w:rPr>
        <w:rFonts w:cs="Arial"/>
        <w:snapToGrid w:val="0"/>
        <w:sz w:val="16"/>
        <w:szCs w:val="16"/>
      </w:rPr>
      <w:t>CVS Caremark</w:t>
    </w:r>
    <w:r w:rsidRPr="004159B2">
      <w:rPr>
        <w:rFonts w:cs="Arial"/>
        <w:sz w:val="16"/>
        <w:szCs w:val="16"/>
      </w:rPr>
      <w:t xml:space="preserve">. </w:t>
    </w:r>
  </w:p>
  <w:p w14:paraId="5442694B" w14:textId="46F104DC" w:rsidR="00AE47F5" w:rsidRPr="00AA1E6A" w:rsidRDefault="00AE47F5" w:rsidP="00DE72FF">
    <w:pPr>
      <w:autoSpaceDE w:val="0"/>
      <w:autoSpaceDN w:val="0"/>
      <w:adjustRightInd w:val="0"/>
      <w:jc w:val="center"/>
      <w:rPr>
        <w:rFonts w:ascii="Arial" w:hAnsi="Arial" w:cs="Arial"/>
        <w:sz w:val="16"/>
        <w:szCs w:val="16"/>
      </w:rPr>
    </w:pPr>
    <w:r w:rsidRPr="004159B2">
      <w:rPr>
        <w:rFonts w:cs="Arial"/>
        <w:sz w:val="16"/>
        <w:szCs w:val="16"/>
      </w:rPr>
      <w:fldChar w:fldCharType="begin"/>
    </w:r>
    <w:r w:rsidRPr="004159B2">
      <w:rPr>
        <w:rFonts w:cs="Arial"/>
        <w:sz w:val="16"/>
        <w:szCs w:val="16"/>
      </w:rPr>
      <w:instrText xml:space="preserve"> PAGE   \* MERGEFORMAT </w:instrText>
    </w:r>
    <w:r w:rsidRPr="004159B2">
      <w:rPr>
        <w:rFonts w:cs="Arial"/>
        <w:sz w:val="16"/>
        <w:szCs w:val="16"/>
      </w:rPr>
      <w:fldChar w:fldCharType="separate"/>
    </w:r>
    <w:r>
      <w:rPr>
        <w:rFonts w:cs="Arial"/>
        <w:noProof/>
        <w:sz w:val="16"/>
        <w:szCs w:val="16"/>
      </w:rPr>
      <w:t>3</w:t>
    </w:r>
    <w:r w:rsidRPr="004159B2">
      <w:rPr>
        <w:rFonts w:cs="Arial"/>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A92D0" w14:textId="21F0E60D" w:rsidR="00AE47F5" w:rsidRPr="004159B2" w:rsidRDefault="00AE47F5" w:rsidP="00AE47F5">
    <w:pPr>
      <w:tabs>
        <w:tab w:val="right" w:pos="10710"/>
      </w:tabs>
      <w:spacing w:before="360" w:after="120"/>
      <w:rPr>
        <w:rFonts w:cs="Arial"/>
        <w:snapToGrid w:val="0"/>
        <w:color w:val="000000"/>
        <w:sz w:val="16"/>
      </w:rPr>
    </w:pPr>
    <w:r w:rsidRPr="004159B2">
      <w:rPr>
        <w:rFonts w:cs="Arial"/>
        <w:noProof/>
        <w:snapToGrid w:val="0"/>
        <w:color w:val="000000"/>
        <w:sz w:val="16"/>
        <w:szCs w:val="16"/>
      </w:rPr>
      <w:fldChar w:fldCharType="begin"/>
    </w:r>
    <w:r w:rsidRPr="004159B2">
      <w:rPr>
        <w:rFonts w:cs="Arial"/>
        <w:noProof/>
        <w:snapToGrid w:val="0"/>
        <w:color w:val="000000"/>
        <w:sz w:val="16"/>
        <w:szCs w:val="16"/>
      </w:rPr>
      <w:instrText xml:space="preserve"> FILENAME \* MERGEFORMAT </w:instrText>
    </w:r>
    <w:r w:rsidRPr="004159B2">
      <w:rPr>
        <w:rFonts w:cs="Arial"/>
        <w:noProof/>
        <w:snapToGrid w:val="0"/>
        <w:color w:val="000000"/>
        <w:sz w:val="16"/>
        <w:szCs w:val="16"/>
      </w:rPr>
      <w:fldChar w:fldCharType="separate"/>
    </w:r>
    <w:r w:rsidR="00321036">
      <w:rPr>
        <w:rFonts w:cs="Arial"/>
        <w:noProof/>
        <w:snapToGrid w:val="0"/>
        <w:color w:val="000000"/>
        <w:sz w:val="16"/>
        <w:szCs w:val="16"/>
      </w:rPr>
      <w:t>Zejula SGM 1687-A P2024a.docx</w:t>
    </w:r>
    <w:r w:rsidRPr="004159B2">
      <w:rPr>
        <w:rFonts w:cs="Arial"/>
        <w:noProof/>
        <w:snapToGrid w:val="0"/>
        <w:color w:val="000000"/>
        <w:sz w:val="16"/>
        <w:szCs w:val="16"/>
      </w:rPr>
      <w:fldChar w:fldCharType="end"/>
    </w:r>
    <w:r w:rsidRPr="004159B2">
      <w:rPr>
        <w:rFonts w:cs="Arial"/>
        <w:snapToGrid w:val="0"/>
        <w:color w:val="000000"/>
        <w:sz w:val="16"/>
      </w:rPr>
      <w:tab/>
      <w:t>© 2024 CVS Caremark. All rights reserved.</w:t>
    </w:r>
  </w:p>
  <w:p w14:paraId="760F0AC1" w14:textId="77777777" w:rsidR="00AE47F5" w:rsidRPr="004159B2" w:rsidRDefault="00AE47F5" w:rsidP="00AE47F5">
    <w:pPr>
      <w:tabs>
        <w:tab w:val="center" w:pos="4320"/>
        <w:tab w:val="right" w:pos="8640"/>
      </w:tabs>
      <w:spacing w:after="200"/>
      <w:rPr>
        <w:rFonts w:cs="Arial"/>
        <w:sz w:val="16"/>
        <w:szCs w:val="16"/>
      </w:rPr>
    </w:pPr>
    <w:r w:rsidRPr="004159B2">
      <w:rPr>
        <w:rFonts w:cs="Arial"/>
        <w:sz w:val="16"/>
        <w:szCs w:val="16"/>
      </w:rPr>
      <w:t>This document contains c</w:t>
    </w:r>
    <w:r w:rsidRPr="004159B2">
      <w:rPr>
        <w:rFonts w:cs="Arial"/>
        <w:snapToGrid w:val="0"/>
        <w:sz w:val="16"/>
        <w:szCs w:val="16"/>
      </w:rPr>
      <w:t xml:space="preserve">onfidential and proprietary information of CVS Caremark and cannot be reproduced, distributed or printed without written permission from CVS Caremark. </w:t>
    </w:r>
    <w:r w:rsidRPr="004159B2">
      <w:rPr>
        <w:rFonts w:cs="Arial"/>
        <w:sz w:val="16"/>
        <w:szCs w:val="16"/>
      </w:rPr>
      <w:t xml:space="preserve">This document contains prescription brand name drugs that are trademarks or registered trademarks of pharmaceutical manufacturers that are not affiliated with </w:t>
    </w:r>
    <w:r w:rsidRPr="004159B2">
      <w:rPr>
        <w:rFonts w:cs="Arial"/>
        <w:snapToGrid w:val="0"/>
        <w:sz w:val="16"/>
        <w:szCs w:val="16"/>
      </w:rPr>
      <w:t>CVS Caremark</w:t>
    </w:r>
    <w:r w:rsidRPr="004159B2">
      <w:rPr>
        <w:rFonts w:cs="Arial"/>
        <w:sz w:val="16"/>
        <w:szCs w:val="16"/>
      </w:rPr>
      <w:t xml:space="preserve">. </w:t>
    </w:r>
  </w:p>
  <w:p w14:paraId="71D20A85" w14:textId="30AEE1D9" w:rsidR="00AE47F5" w:rsidRPr="00AA1E6A" w:rsidRDefault="00AE47F5" w:rsidP="00DE72FF">
    <w:pPr>
      <w:autoSpaceDE w:val="0"/>
      <w:autoSpaceDN w:val="0"/>
      <w:adjustRightInd w:val="0"/>
      <w:jc w:val="center"/>
      <w:rPr>
        <w:rFonts w:ascii="Arial" w:hAnsi="Arial" w:cs="Arial"/>
        <w:sz w:val="16"/>
        <w:szCs w:val="16"/>
      </w:rPr>
    </w:pPr>
    <w:r w:rsidRPr="004159B2">
      <w:rPr>
        <w:rFonts w:cs="Arial"/>
        <w:sz w:val="16"/>
        <w:szCs w:val="16"/>
      </w:rPr>
      <w:fldChar w:fldCharType="begin"/>
    </w:r>
    <w:r w:rsidRPr="004159B2">
      <w:rPr>
        <w:rFonts w:cs="Arial"/>
        <w:sz w:val="16"/>
        <w:szCs w:val="16"/>
      </w:rPr>
      <w:instrText xml:space="preserve"> PAGE   \* MERGEFORMAT </w:instrText>
    </w:r>
    <w:r w:rsidRPr="004159B2">
      <w:rPr>
        <w:rFonts w:cs="Arial"/>
        <w:sz w:val="16"/>
        <w:szCs w:val="16"/>
      </w:rPr>
      <w:fldChar w:fldCharType="separate"/>
    </w:r>
    <w:r>
      <w:rPr>
        <w:rFonts w:cs="Arial"/>
        <w:noProof/>
        <w:sz w:val="16"/>
        <w:szCs w:val="16"/>
      </w:rPr>
      <w:t>3</w:t>
    </w:r>
    <w:r w:rsidRPr="004159B2">
      <w:rPr>
        <w:rFonts w:cs="Arial"/>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A5E0E" w14:textId="77777777" w:rsidR="00964BB7" w:rsidRDefault="00964BB7">
      <w:r>
        <w:separator/>
      </w:r>
    </w:p>
  </w:footnote>
  <w:footnote w:type="continuationSeparator" w:id="0">
    <w:p w14:paraId="5FC1384D" w14:textId="77777777" w:rsidR="00964BB7" w:rsidRDefault="00964BB7">
      <w:r>
        <w:continuationSeparator/>
      </w:r>
    </w:p>
  </w:footnote>
  <w:footnote w:type="continuationNotice" w:id="1">
    <w:p w14:paraId="2FACE1E4" w14:textId="77777777" w:rsidR="00964BB7" w:rsidRDefault="00964B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AE47F5" w:rsidRPr="00BD1CC1" w14:paraId="1F7EE08F" w14:textId="77777777" w:rsidTr="00DB3F3F">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E62CDD3" w14:textId="77777777" w:rsidR="00AE47F5" w:rsidRPr="00EC47B6" w:rsidRDefault="00AE47F5" w:rsidP="00AE47F5">
          <w:pPr>
            <w:pStyle w:val="RefTableData"/>
          </w:pPr>
          <w:r w:rsidRPr="00F246C7">
            <w:t>Reference number(s</w:t>
          </w:r>
          <w:r w:rsidRPr="00EC47B6">
            <w:t>)</w:t>
          </w:r>
        </w:p>
      </w:tc>
    </w:tr>
    <w:tr w:rsidR="00AE47F5" w:rsidRPr="00BD1CC1" w14:paraId="11A2B384" w14:textId="77777777" w:rsidTr="00DB3F3F">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61799DAC" w14:textId="38D2D1CB" w:rsidR="00AE47F5" w:rsidRPr="00FF66BF" w:rsidRDefault="00AE47F5" w:rsidP="00AE47F5">
          <w:pPr>
            <w:pStyle w:val="RefTableHeader"/>
          </w:pPr>
          <w:r>
            <w:rPr>
              <w:rFonts w:ascii="Arial" w:hAnsi="Arial"/>
            </w:rPr>
            <w:t>1687</w:t>
          </w:r>
          <w:r w:rsidRPr="006917F9">
            <w:rPr>
              <w:rFonts w:ascii="Arial" w:hAnsi="Arial"/>
            </w:rPr>
            <w:t>-A</w:t>
          </w:r>
        </w:p>
      </w:tc>
    </w:tr>
  </w:tbl>
  <w:p w14:paraId="3636B269" w14:textId="77777777" w:rsidR="00AE47F5" w:rsidRPr="00AE47F5" w:rsidRDefault="00AE47F5">
    <w:pPr>
      <w:pStyle w:val="Head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AE47F5" w:rsidRPr="00BD1CC1" w14:paraId="5CDFE71D" w14:textId="77777777" w:rsidTr="00DB3F3F">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0C3A6B9" w14:textId="77777777" w:rsidR="00AE47F5" w:rsidRPr="00EC47B6" w:rsidRDefault="00AE47F5" w:rsidP="00AE47F5">
          <w:pPr>
            <w:pStyle w:val="RefTableData"/>
          </w:pPr>
          <w:r w:rsidRPr="00F246C7">
            <w:t>Reference number(s</w:t>
          </w:r>
          <w:r w:rsidRPr="00EC47B6">
            <w:t>)</w:t>
          </w:r>
        </w:p>
      </w:tc>
    </w:tr>
    <w:tr w:rsidR="00AE47F5" w:rsidRPr="00BD1CC1" w14:paraId="12FD9C71" w14:textId="77777777" w:rsidTr="00DB3F3F">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14B2308F" w14:textId="3C9B34D4" w:rsidR="00AE47F5" w:rsidRPr="00FF66BF" w:rsidRDefault="00AE47F5" w:rsidP="00AE47F5">
          <w:pPr>
            <w:pStyle w:val="RefTableHeader"/>
          </w:pPr>
          <w:r>
            <w:rPr>
              <w:rFonts w:ascii="Arial" w:hAnsi="Arial"/>
            </w:rPr>
            <w:t>1687</w:t>
          </w:r>
          <w:r w:rsidRPr="006917F9">
            <w:rPr>
              <w:rFonts w:ascii="Arial" w:hAnsi="Arial"/>
            </w:rPr>
            <w:t>-A</w:t>
          </w:r>
        </w:p>
      </w:tc>
    </w:tr>
  </w:tbl>
  <w:p w14:paraId="138BF862" w14:textId="77777777" w:rsidR="00AE47F5" w:rsidRPr="00AE47F5" w:rsidRDefault="00AE47F5">
    <w:pPr>
      <w:pStyle w:val="Head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816216"/>
    <w:multiLevelType w:val="hybridMultilevel"/>
    <w:tmpl w:val="C6CAC752"/>
    <w:lvl w:ilvl="0" w:tplc="3DE287B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D914F14"/>
    <w:multiLevelType w:val="hybridMultilevel"/>
    <w:tmpl w:val="D7B0F280"/>
    <w:lvl w:ilvl="0" w:tplc="04090015">
      <w:start w:val="1"/>
      <w:numFmt w:val="upperLetter"/>
      <w:lvlText w:val="%1."/>
      <w:lvlJc w:val="left"/>
      <w:pPr>
        <w:ind w:left="1080" w:hanging="360"/>
      </w:pPr>
      <w:rPr>
        <w:rFonts w:hint="default"/>
      </w:rPr>
    </w:lvl>
    <w:lvl w:ilvl="1" w:tplc="0409000F">
      <w:start w:val="1"/>
      <w:numFmt w:val="decimal"/>
      <w:lvlText w:val="%2."/>
      <w:lvlJc w:val="left"/>
      <w:pPr>
        <w:ind w:left="1800" w:hanging="360"/>
      </w:pPr>
    </w:lvl>
    <w:lvl w:ilvl="2" w:tplc="04090019">
      <w:start w:val="1"/>
      <w:numFmt w:val="lowerLetter"/>
      <w:lvlText w:val="%3."/>
      <w:lvlJc w:val="left"/>
      <w:pPr>
        <w:ind w:left="2520" w:hanging="180"/>
      </w:pPr>
      <w:rPr>
        <w:rFonts w:hint="default"/>
        <w:b w:val="0"/>
        <w:sz w:val="20"/>
        <w:szCs w:val="20"/>
      </w:r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0851563"/>
    <w:multiLevelType w:val="hybridMultilevel"/>
    <w:tmpl w:val="8C680EE8"/>
    <w:lvl w:ilvl="0" w:tplc="B32E9FC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2175C07"/>
    <w:multiLevelType w:val="hybridMultilevel"/>
    <w:tmpl w:val="9D7E6D3C"/>
    <w:lvl w:ilvl="0" w:tplc="7368BEB2">
      <w:start w:val="2"/>
      <w:numFmt w:val="upperLetter"/>
      <w:lvlText w:val="%1."/>
      <w:lvlJc w:val="left"/>
      <w:pPr>
        <w:ind w:left="2160" w:hanging="360"/>
      </w:pPr>
      <w:rPr>
        <w:rFonts w:hint="default"/>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6E49FD"/>
    <w:multiLevelType w:val="hybridMultilevel"/>
    <w:tmpl w:val="7F02E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B00466"/>
    <w:multiLevelType w:val="hybridMultilevel"/>
    <w:tmpl w:val="0D38804E"/>
    <w:lvl w:ilvl="0" w:tplc="8300004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95C3467"/>
    <w:multiLevelType w:val="hybridMultilevel"/>
    <w:tmpl w:val="31EED8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2C43C4"/>
    <w:multiLevelType w:val="hybridMultilevel"/>
    <w:tmpl w:val="FE5A4A44"/>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1BD568B"/>
    <w:multiLevelType w:val="hybridMultilevel"/>
    <w:tmpl w:val="C18A47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536CD7"/>
    <w:multiLevelType w:val="hybridMultilevel"/>
    <w:tmpl w:val="DAFC7110"/>
    <w:lvl w:ilvl="0" w:tplc="5652FFA4">
      <w:start w:val="1"/>
      <w:numFmt w:val="upp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32"/>
  </w:num>
  <w:num w:numId="3" w16cid:durableId="611589570">
    <w:abstractNumId w:val="27"/>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1"/>
  </w:num>
  <w:num w:numId="16" w16cid:durableId="898320195">
    <w:abstractNumId w:val="20"/>
  </w:num>
  <w:num w:numId="17" w16cid:durableId="2128498676">
    <w:abstractNumId w:val="35"/>
  </w:num>
  <w:num w:numId="18" w16cid:durableId="299724409">
    <w:abstractNumId w:val="28"/>
  </w:num>
  <w:num w:numId="19" w16cid:durableId="214585573">
    <w:abstractNumId w:val="14"/>
  </w:num>
  <w:num w:numId="20" w16cid:durableId="1289816170">
    <w:abstractNumId w:val="15"/>
  </w:num>
  <w:num w:numId="21" w16cid:durableId="1066490929">
    <w:abstractNumId w:val="36"/>
  </w:num>
  <w:num w:numId="22" w16cid:durableId="1472481103">
    <w:abstractNumId w:val="30"/>
  </w:num>
  <w:num w:numId="23" w16cid:durableId="1997420403">
    <w:abstractNumId w:val="33"/>
  </w:num>
  <w:num w:numId="24" w16cid:durableId="33312838">
    <w:abstractNumId w:val="29"/>
  </w:num>
  <w:num w:numId="25" w16cid:durableId="507404939">
    <w:abstractNumId w:val="19"/>
  </w:num>
  <w:num w:numId="26" w16cid:durableId="1950313333">
    <w:abstractNumId w:val="26"/>
  </w:num>
  <w:num w:numId="27" w16cid:durableId="1866016584">
    <w:abstractNumId w:val="24"/>
  </w:num>
  <w:num w:numId="28" w16cid:durableId="516312318">
    <w:abstractNumId w:val="31"/>
  </w:num>
  <w:num w:numId="29" w16cid:durableId="1653754412">
    <w:abstractNumId w:val="22"/>
  </w:num>
  <w:num w:numId="30" w16cid:durableId="466119829">
    <w:abstractNumId w:val="17"/>
  </w:num>
  <w:num w:numId="31" w16cid:durableId="1754425104">
    <w:abstractNumId w:val="25"/>
  </w:num>
  <w:num w:numId="32" w16cid:durableId="752430661">
    <w:abstractNumId w:val="23"/>
  </w:num>
  <w:num w:numId="33" w16cid:durableId="830369097">
    <w:abstractNumId w:val="34"/>
  </w:num>
  <w:num w:numId="34" w16cid:durableId="1856310639">
    <w:abstractNumId w:val="10"/>
  </w:num>
  <w:num w:numId="35" w16cid:durableId="1211108605">
    <w:abstractNumId w:val="16"/>
  </w:num>
  <w:num w:numId="36" w16cid:durableId="1394962954">
    <w:abstractNumId w:val="18"/>
  </w:num>
  <w:num w:numId="37" w16cid:durableId="59064800">
    <w:abstractNumId w:val="2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7E4"/>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4D2E"/>
    <w:rsid w:val="00125550"/>
    <w:rsid w:val="00127150"/>
    <w:rsid w:val="00127475"/>
    <w:rsid w:val="00127546"/>
    <w:rsid w:val="0012768E"/>
    <w:rsid w:val="00127BF2"/>
    <w:rsid w:val="001301D3"/>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98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23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5C4"/>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37E07"/>
    <w:rsid w:val="00240136"/>
    <w:rsid w:val="00240736"/>
    <w:rsid w:val="00240C70"/>
    <w:rsid w:val="0024185D"/>
    <w:rsid w:val="002423DE"/>
    <w:rsid w:val="002426A1"/>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B7A"/>
    <w:rsid w:val="00263D81"/>
    <w:rsid w:val="00264713"/>
    <w:rsid w:val="00265457"/>
    <w:rsid w:val="00265727"/>
    <w:rsid w:val="00265B2A"/>
    <w:rsid w:val="00265E1F"/>
    <w:rsid w:val="00265FEB"/>
    <w:rsid w:val="002662F2"/>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036"/>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2EB4"/>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74E"/>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BEE"/>
    <w:rsid w:val="00433E3A"/>
    <w:rsid w:val="00433EE2"/>
    <w:rsid w:val="004357BB"/>
    <w:rsid w:val="00435A60"/>
    <w:rsid w:val="00437BFC"/>
    <w:rsid w:val="00437D53"/>
    <w:rsid w:val="004403A5"/>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294"/>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1DD2"/>
    <w:rsid w:val="00512353"/>
    <w:rsid w:val="00512508"/>
    <w:rsid w:val="0051361C"/>
    <w:rsid w:val="00513C29"/>
    <w:rsid w:val="00513FB7"/>
    <w:rsid w:val="00514A01"/>
    <w:rsid w:val="00514A89"/>
    <w:rsid w:val="00515A3D"/>
    <w:rsid w:val="00515A5C"/>
    <w:rsid w:val="005166CA"/>
    <w:rsid w:val="00516920"/>
    <w:rsid w:val="00516C3A"/>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5DAA"/>
    <w:rsid w:val="005462B1"/>
    <w:rsid w:val="005467BF"/>
    <w:rsid w:val="0054721E"/>
    <w:rsid w:val="00547DC8"/>
    <w:rsid w:val="00552A6C"/>
    <w:rsid w:val="00552AD2"/>
    <w:rsid w:val="005539ED"/>
    <w:rsid w:val="00553C00"/>
    <w:rsid w:val="00554C8D"/>
    <w:rsid w:val="00554E7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1EEB"/>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823"/>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97839"/>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1CF6"/>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219A"/>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2C8B"/>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0F0"/>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2D2C"/>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4BB7"/>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4A8"/>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30"/>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7F5"/>
    <w:rsid w:val="00AE4981"/>
    <w:rsid w:val="00AE499B"/>
    <w:rsid w:val="00AE4ABE"/>
    <w:rsid w:val="00AE5C42"/>
    <w:rsid w:val="00AE601E"/>
    <w:rsid w:val="00AE609A"/>
    <w:rsid w:val="00AE6E56"/>
    <w:rsid w:val="00AE7161"/>
    <w:rsid w:val="00AE74EE"/>
    <w:rsid w:val="00AF0414"/>
    <w:rsid w:val="00AF0473"/>
    <w:rsid w:val="00AF0948"/>
    <w:rsid w:val="00AF0E8F"/>
    <w:rsid w:val="00AF142D"/>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55E1"/>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07811"/>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9B2"/>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36D"/>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E1E"/>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4793"/>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154C"/>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2FF"/>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956"/>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5D9"/>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3C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B9"/>
    <w:rsid w:val="00F77CFC"/>
    <w:rsid w:val="00F803E8"/>
    <w:rsid w:val="00F810F2"/>
    <w:rsid w:val="00F81192"/>
    <w:rsid w:val="00F81513"/>
    <w:rsid w:val="00F81D51"/>
    <w:rsid w:val="00F82083"/>
    <w:rsid w:val="00F82179"/>
    <w:rsid w:val="00F826EA"/>
    <w:rsid w:val="00F82E88"/>
    <w:rsid w:val="00F83AB3"/>
    <w:rsid w:val="00F84A1D"/>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CB"/>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00B"/>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0C4"/>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4E1D"/>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7611">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40EA2361-AE03-4BB9-9E5D-A86D8FBED929}"/>
</file>

<file path=customXml/itemProps4.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497</Words>
  <Characters>3033</Characters>
  <Application>Microsoft Office Word</Application>
  <DocSecurity>0</DocSecurity>
  <Lines>64</Lines>
  <Paragraphs>46</Paragraphs>
  <ScaleCrop>false</ScaleCrop>
  <HeadingPairs>
    <vt:vector size="2" baseType="variant">
      <vt:variant>
        <vt:lpstr>Title</vt:lpstr>
      </vt:variant>
      <vt:variant>
        <vt:i4>1</vt:i4>
      </vt:variant>
    </vt:vector>
  </HeadingPairs>
  <TitlesOfParts>
    <vt:vector size="1" baseType="lpstr">
      <vt:lpstr>Zejula SGM 1687-A 2023a</vt:lpstr>
    </vt:vector>
  </TitlesOfParts>
  <Company>PCS Health Systems</Company>
  <LinksUpToDate>false</LinksUpToDate>
  <CharactersWithSpaces>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Zejula SGM 1687-A</dc:title>
  <dc:subject>Zejula SGM 1687-A</dc:subject>
  <dc:creator>CVS Caremark</dc:creator>
  <cp:keywords/>
  <cp:lastModifiedBy>Ortiz, Erica M</cp:lastModifiedBy>
  <cp:revision>3</cp:revision>
  <cp:lastPrinted>2018-01-09T11:01:00Z</cp:lastPrinted>
  <dcterms:created xsi:type="dcterms:W3CDTF">2025-05-08T22:05:00Z</dcterms:created>
  <dcterms:modified xsi:type="dcterms:W3CDTF">2025-05-08T22:06:00Z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1776100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